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Layout w:type="fixed"/>
        <w:tblCellMar>
          <w:top w:w="0" w:type="dxa"/>
          <w:left w:w="108" w:type="dxa"/>
          <w:bottom w:w="0" w:type="dxa"/>
          <w:right w:w="108" w:type="dxa"/>
        </w:tblCellMar>
      </w:tblPr>
      <w:tblGrid>
        <w:gridCol w:w="637"/>
        <w:gridCol w:w="253"/>
        <w:gridCol w:w="277"/>
        <w:gridCol w:w="168"/>
        <w:gridCol w:w="1929"/>
        <w:gridCol w:w="523"/>
        <w:gridCol w:w="733"/>
        <w:gridCol w:w="229"/>
        <w:gridCol w:w="479"/>
        <w:gridCol w:w="206"/>
        <w:gridCol w:w="1053"/>
        <w:gridCol w:w="515"/>
        <w:gridCol w:w="550"/>
        <w:gridCol w:w="1394"/>
      </w:tblGrid>
      <w:tr>
        <w:tblPrEx>
          <w:tblCellMar>
            <w:top w:w="0" w:type="dxa"/>
            <w:left w:w="108" w:type="dxa"/>
            <w:bottom w:w="0" w:type="dxa"/>
            <w:right w:w="108" w:type="dxa"/>
          </w:tblCellMar>
        </w:tblPrEx>
        <w:trPr>
          <w:trHeight w:val="408" w:hRule="atLeast"/>
        </w:trPr>
        <w:tc>
          <w:tcPr>
            <w:tcW w:w="8946" w:type="dxa"/>
            <w:gridSpan w:val="14"/>
            <w:vAlign w:val="center"/>
          </w:tcPr>
          <w:p>
            <w:pPr>
              <w:autoSpaceDN w:val="0"/>
              <w:spacing w:line="400" w:lineRule="exact"/>
              <w:jc w:val="left"/>
              <w:textAlignment w:val="center"/>
              <w:rPr>
                <w:rFonts w:ascii="黑体" w:hAnsi="黑体" w:eastAsia="黑体"/>
                <w:color w:val="000000"/>
              </w:rPr>
            </w:pPr>
            <w:r>
              <w:rPr>
                <w:rFonts w:ascii="黑体" w:hAnsi="黑体" w:eastAsia="黑体"/>
                <w:color w:val="000000"/>
                <w:sz w:val="32"/>
              </w:rPr>
              <w:t>附件4</w:t>
            </w:r>
          </w:p>
        </w:tc>
      </w:tr>
      <w:tr>
        <w:tblPrEx>
          <w:tblCellMar>
            <w:top w:w="0" w:type="dxa"/>
            <w:left w:w="108" w:type="dxa"/>
            <w:bottom w:w="0" w:type="dxa"/>
            <w:right w:w="108" w:type="dxa"/>
          </w:tblCellMar>
        </w:tblPrEx>
        <w:trPr>
          <w:trHeight w:val="624" w:hRule="atLeast"/>
        </w:trPr>
        <w:tc>
          <w:tcPr>
            <w:tcW w:w="8946" w:type="dxa"/>
            <w:gridSpan w:val="14"/>
            <w:vAlign w:val="center"/>
          </w:tcPr>
          <w:p>
            <w:pPr>
              <w:autoSpaceDN w:val="0"/>
              <w:spacing w:line="400" w:lineRule="exact"/>
              <w:jc w:val="center"/>
              <w:textAlignment w:val="center"/>
              <w:rPr>
                <w:rFonts w:ascii="仿宋" w:hAnsi="仿宋" w:eastAsia="仿宋"/>
                <w:b/>
                <w:color w:val="000000"/>
                <w:sz w:val="36"/>
              </w:rPr>
            </w:pPr>
            <w:r>
              <w:rPr>
                <w:rFonts w:hint="eastAsia" w:ascii="方正小标宋简体" w:hAnsi="方正小标宋简体" w:eastAsia="方正小标宋简体"/>
                <w:bCs/>
                <w:color w:val="000000"/>
                <w:sz w:val="36"/>
                <w:szCs w:val="36"/>
              </w:rPr>
              <w:t>部门整体支出绩效自评表</w:t>
            </w:r>
          </w:p>
        </w:tc>
      </w:tr>
      <w:tr>
        <w:tblPrEx>
          <w:tblCellMar>
            <w:top w:w="0" w:type="dxa"/>
            <w:left w:w="108" w:type="dxa"/>
            <w:bottom w:w="0" w:type="dxa"/>
            <w:right w:w="108" w:type="dxa"/>
          </w:tblCellMar>
        </w:tblPrEx>
        <w:trPr>
          <w:trHeight w:val="355" w:hRule="atLeast"/>
        </w:trPr>
        <w:tc>
          <w:tcPr>
            <w:tcW w:w="8946" w:type="dxa"/>
            <w:gridSpan w:val="14"/>
            <w:vAlign w:val="center"/>
          </w:tcPr>
          <w:p>
            <w:pPr>
              <w:autoSpaceDN w:val="0"/>
              <w:spacing w:line="400" w:lineRule="exact"/>
              <w:jc w:val="center"/>
              <w:textAlignment w:val="center"/>
              <w:rPr>
                <w:rFonts w:ascii="仿宋" w:hAnsi="仿宋" w:eastAsia="仿宋"/>
                <w:color w:val="000000"/>
                <w:sz w:val="18"/>
              </w:rPr>
            </w:pPr>
            <w:r>
              <w:rPr>
                <w:rFonts w:hint="eastAsia" w:ascii="楷体_GB2312" w:hAnsi="楷体_GB2312" w:eastAsia="楷体_GB2312"/>
                <w:color w:val="000000"/>
                <w:sz w:val="18"/>
              </w:rPr>
              <w:t>（ 2020年度）</w:t>
            </w:r>
          </w:p>
        </w:tc>
      </w:tr>
      <w:tr>
        <w:tblPrEx>
          <w:tblCellMar>
            <w:top w:w="0" w:type="dxa"/>
            <w:left w:w="108" w:type="dxa"/>
            <w:bottom w:w="0" w:type="dxa"/>
            <w:right w:w="108" w:type="dxa"/>
          </w:tblCellMar>
        </w:tblPrEx>
        <w:trPr>
          <w:trHeight w:val="228" w:hRule="atLeast"/>
        </w:trPr>
        <w:tc>
          <w:tcPr>
            <w:tcW w:w="1335"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评价部门名称</w:t>
            </w:r>
          </w:p>
        </w:tc>
        <w:tc>
          <w:tcPr>
            <w:tcW w:w="3414"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民革萍乡市委会</w:t>
            </w:r>
          </w:p>
        </w:tc>
        <w:tc>
          <w:tcPr>
            <w:tcW w:w="225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下属单位个数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133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整体支出规模</w:t>
            </w: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全年预算数</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全年执行数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执行率</w:t>
            </w:r>
          </w:p>
        </w:tc>
      </w:tr>
      <w:tr>
        <w:tblPrEx>
          <w:tblCellMar>
            <w:top w:w="0" w:type="dxa"/>
            <w:left w:w="108" w:type="dxa"/>
            <w:bottom w:w="0" w:type="dxa"/>
            <w:right w:w="108" w:type="dxa"/>
          </w:tblCellMar>
        </w:tblPrEx>
        <w:trPr>
          <w:trHeight w:val="289"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资金来源：（1）财政拨款</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106.34</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121.26</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lang w:val="en-US" w:eastAsia="zh-CN"/>
              </w:rPr>
              <w:t>114.03</w:t>
            </w:r>
            <w:r>
              <w:rPr>
                <w:rFonts w:hint="eastAsia" w:ascii="宋体" w:hAnsi="宋体"/>
                <w:color w:val="000000"/>
                <w:sz w:val="18"/>
              </w:rPr>
              <w:t>%</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（2）其他资金</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5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资金结构：（1）基本支出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85.14</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color w:val="000000"/>
                <w:sz w:val="18"/>
                <w:lang w:val="en-US"/>
              </w:rPr>
            </w:pPr>
            <w:r>
              <w:rPr>
                <w:rFonts w:hint="eastAsia" w:ascii="宋体" w:hAnsi="宋体"/>
                <w:color w:val="000000"/>
                <w:sz w:val="18"/>
                <w:lang w:val="en-US" w:eastAsia="zh-CN"/>
              </w:rPr>
              <w:t>121.26</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lang w:val="en-US" w:eastAsia="zh-CN"/>
              </w:rPr>
              <w:t>142.42</w:t>
            </w:r>
            <w:r>
              <w:rPr>
                <w:rFonts w:hint="eastAsia" w:ascii="宋体" w:hAnsi="宋体"/>
                <w:color w:val="000000"/>
                <w:sz w:val="18"/>
              </w:rPr>
              <w:t>%</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（2）项目支出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21.20</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年度总体目标</w:t>
            </w: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年初设定目标</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全年完成情况</w:t>
            </w:r>
          </w:p>
        </w:tc>
      </w:tr>
      <w:tr>
        <w:tblPrEx>
          <w:tblCellMar>
            <w:top w:w="0" w:type="dxa"/>
            <w:left w:w="108" w:type="dxa"/>
            <w:bottom w:w="0" w:type="dxa"/>
            <w:right w:w="108" w:type="dxa"/>
          </w:tblCellMar>
        </w:tblPrEx>
        <w:trPr>
          <w:trHeight w:val="228" w:hRule="atLeast"/>
        </w:trPr>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s="宋体"/>
                <w:color w:val="000000"/>
                <w:sz w:val="18"/>
                <w:szCs w:val="18"/>
                <w:highlight w:val="none"/>
                <w:shd w:val="clear" w:color="auto" w:fill="FFFFFF"/>
              </w:rPr>
            </w:pPr>
            <w:r>
              <w:rPr>
                <w:rFonts w:hint="eastAsia" w:ascii="宋体" w:hAnsi="宋体" w:eastAsia="宋体" w:cs="宋体"/>
                <w:color w:val="000000"/>
                <w:sz w:val="18"/>
                <w:szCs w:val="18"/>
                <w:highlight w:val="none"/>
                <w:shd w:val="clear" w:color="auto" w:fill="FFFFFF"/>
              </w:rPr>
              <w:t>参加政协全体会议，参加协商座谈会1次</w:t>
            </w:r>
            <w:r>
              <w:rPr>
                <w:rFonts w:hint="eastAsia" w:ascii="宋体" w:hAnsi="宋体" w:cs="宋体"/>
                <w:color w:val="000000"/>
                <w:sz w:val="18"/>
                <w:szCs w:val="18"/>
                <w:highlight w:val="none"/>
                <w:shd w:val="clear" w:color="auto" w:fill="FFFFFF"/>
                <w:lang w:eastAsia="zh-CN"/>
              </w:rPr>
              <w:t>，</w:t>
            </w:r>
            <w:r>
              <w:rPr>
                <w:rFonts w:hint="eastAsia" w:ascii="宋体" w:hAnsi="宋体" w:eastAsia="宋体" w:cs="宋体"/>
                <w:color w:val="000000"/>
                <w:sz w:val="18"/>
                <w:szCs w:val="18"/>
                <w:highlight w:val="none"/>
                <w:shd w:val="clear" w:color="auto" w:fill="FFFFFF"/>
              </w:rPr>
              <w:t>.向市政协提交大会发言材料1篇；完成社情民意反映至少2篇；完成市政协提案2</w:t>
            </w:r>
            <w:r>
              <w:rPr>
                <w:rFonts w:hint="eastAsia" w:ascii="宋体" w:hAnsi="宋体" w:cs="宋体"/>
                <w:color w:val="000000"/>
                <w:sz w:val="18"/>
                <w:szCs w:val="18"/>
                <w:highlight w:val="none"/>
                <w:shd w:val="clear" w:color="auto" w:fill="FFFFFF"/>
                <w:lang w:eastAsia="zh-CN"/>
              </w:rPr>
              <w:t>个。</w:t>
            </w:r>
            <w:r>
              <w:rPr>
                <w:rFonts w:hint="eastAsia" w:ascii="宋体" w:hAnsi="宋体" w:eastAsia="宋体" w:cs="宋体"/>
                <w:color w:val="000000"/>
                <w:sz w:val="18"/>
                <w:szCs w:val="18"/>
                <w:highlight w:val="none"/>
                <w:shd w:val="clear" w:color="auto" w:fill="FFFFFF"/>
              </w:rPr>
              <w:t xml:space="preserve"> 全市开展法律知识普及活动；积极参与脱贫攻坚工作，开展“三下乡”活动；参与全市创建全国文明城市帮创工作及志愿服务活动；联系台商开展相关捐赠活动。年度发展新党员8人；继续推进“民革党员之家”的建设；开展达标支部和示范支部创建工作；开展支部年度目标管理考评</w:t>
            </w:r>
            <w:r>
              <w:rPr>
                <w:rFonts w:hint="eastAsia" w:ascii="宋体" w:hAnsi="宋体" w:cs="宋体"/>
                <w:color w:val="000000"/>
                <w:sz w:val="18"/>
                <w:szCs w:val="18"/>
                <w:highlight w:val="none"/>
                <w:shd w:val="clear" w:color="auto" w:fill="FFFFFF"/>
                <w:lang w:eastAsia="zh-CN"/>
              </w:rPr>
              <w:t>；</w:t>
            </w:r>
            <w:r>
              <w:rPr>
                <w:rFonts w:hint="eastAsia" w:ascii="宋体" w:hAnsi="宋体" w:eastAsia="宋体" w:cs="宋体"/>
                <w:color w:val="000000"/>
                <w:sz w:val="18"/>
                <w:szCs w:val="18"/>
                <w:highlight w:val="none"/>
                <w:shd w:val="clear" w:color="auto" w:fill="FFFFFF"/>
              </w:rPr>
              <w:t>完成支部换届和市委会换届工作。 开展思想政治理论学习</w:t>
            </w:r>
            <w:r>
              <w:rPr>
                <w:rFonts w:hint="eastAsia" w:ascii="宋体" w:hAnsi="宋体" w:cs="宋体"/>
                <w:color w:val="000000"/>
                <w:sz w:val="18"/>
                <w:szCs w:val="18"/>
                <w:highlight w:val="none"/>
                <w:shd w:val="clear" w:color="auto" w:fill="FFFFFF"/>
                <w:lang w:eastAsia="zh-CN"/>
              </w:rPr>
              <w:t>，</w:t>
            </w:r>
            <w:r>
              <w:rPr>
                <w:rFonts w:hint="eastAsia" w:ascii="宋体" w:hAnsi="宋体" w:eastAsia="宋体" w:cs="宋体"/>
                <w:color w:val="000000"/>
                <w:sz w:val="18"/>
                <w:szCs w:val="18"/>
                <w:highlight w:val="none"/>
                <w:shd w:val="clear" w:color="auto" w:fill="FFFFFF"/>
              </w:rPr>
              <w:t xml:space="preserve"> 按时出版《萍乡民革》内刊</w:t>
            </w:r>
            <w:r>
              <w:rPr>
                <w:rFonts w:hint="eastAsia" w:ascii="宋体" w:hAnsi="宋体" w:cs="宋体"/>
                <w:color w:val="000000"/>
                <w:sz w:val="18"/>
                <w:szCs w:val="18"/>
                <w:highlight w:val="none"/>
                <w:shd w:val="clear" w:color="auto" w:fill="FFFFFF"/>
                <w:lang w:eastAsia="zh-CN"/>
              </w:rPr>
              <w:t>，</w:t>
            </w:r>
            <w:r>
              <w:rPr>
                <w:rFonts w:hint="eastAsia" w:ascii="宋体" w:hAnsi="宋体" w:eastAsia="宋体" w:cs="宋体"/>
                <w:color w:val="000000"/>
                <w:sz w:val="18"/>
                <w:szCs w:val="18"/>
                <w:highlight w:val="none"/>
                <w:shd w:val="clear" w:color="auto" w:fill="FFFFFF"/>
              </w:rPr>
              <w:t xml:space="preserve">举办一次形势报告会；联系台胞开展1次捐赠活动。            </w:t>
            </w:r>
          </w:p>
          <w:p>
            <w:pPr>
              <w:autoSpaceDN w:val="0"/>
              <w:spacing w:line="240" w:lineRule="exact"/>
              <w:jc w:val="left"/>
              <w:textAlignment w:val="center"/>
              <w:rPr>
                <w:rFonts w:ascii="宋体" w:hAnsi="宋体"/>
                <w:color w:val="000000"/>
                <w:sz w:val="18"/>
              </w:rPr>
            </w:pPr>
            <w:r>
              <w:rPr>
                <w:rFonts w:hint="eastAsia" w:ascii="宋体" w:hAnsi="宋体" w:eastAsia="宋体" w:cs="宋体"/>
                <w:color w:val="000000"/>
                <w:sz w:val="18"/>
                <w:szCs w:val="18"/>
                <w:highlight w:val="none"/>
                <w:shd w:val="clear" w:color="auto" w:fill="FFFFFF"/>
              </w:rPr>
              <w:t>编制年度财务预决算并在网上公开；开展好年终党员慰问活动；举办“三八”妇女节、重阳节活动</w:t>
            </w:r>
            <w:r>
              <w:rPr>
                <w:rFonts w:hint="eastAsia" w:ascii="宋体" w:hAnsi="宋体" w:cs="宋体"/>
                <w:color w:val="000000"/>
                <w:sz w:val="18"/>
                <w:szCs w:val="18"/>
                <w:highlight w:val="none"/>
                <w:shd w:val="clear" w:color="auto" w:fill="FFFFFF"/>
                <w:lang w:eastAsia="zh-CN"/>
              </w:rPr>
              <w:t>，</w:t>
            </w:r>
            <w:r>
              <w:rPr>
                <w:rFonts w:hint="eastAsia" w:ascii="宋体" w:hAnsi="宋体" w:eastAsia="宋体" w:cs="宋体"/>
                <w:color w:val="000000"/>
                <w:sz w:val="18"/>
                <w:szCs w:val="18"/>
                <w:highlight w:val="none"/>
                <w:shd w:val="clear" w:color="auto" w:fill="FFFFFF"/>
              </w:rPr>
              <w:t>保障在编人员工资支出及相关福利费等支出，保障单位正常运行。</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完成</w:t>
            </w:r>
          </w:p>
        </w:tc>
      </w:tr>
      <w:tr>
        <w:tblPrEx>
          <w:tblCellMar>
            <w:top w:w="0" w:type="dxa"/>
            <w:left w:w="108" w:type="dxa"/>
            <w:bottom w:w="0" w:type="dxa"/>
            <w:right w:w="108" w:type="dxa"/>
          </w:tblCellMar>
        </w:tblPrEx>
        <w:trPr>
          <w:trHeight w:val="228" w:hRule="atLeast"/>
        </w:trPr>
        <w:tc>
          <w:tcPr>
            <w:tcW w:w="8946"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分解目标自评</w:t>
            </w:r>
          </w:p>
        </w:tc>
      </w:tr>
      <w:tr>
        <w:tblPrEx>
          <w:tblCellMar>
            <w:top w:w="0" w:type="dxa"/>
            <w:left w:w="108" w:type="dxa"/>
            <w:bottom w:w="0" w:type="dxa"/>
            <w:right w:w="108" w:type="dxa"/>
          </w:tblCellMar>
        </w:tblPrEx>
        <w:trPr>
          <w:trHeight w:val="24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一级指标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权重</w:t>
            </w:r>
          </w:p>
        </w:tc>
        <w:tc>
          <w:tcPr>
            <w:tcW w:w="209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二级指标</w:t>
            </w:r>
          </w:p>
        </w:tc>
        <w:tc>
          <w:tcPr>
            <w:tcW w:w="1256"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三级指标</w:t>
            </w:r>
          </w:p>
        </w:tc>
        <w:tc>
          <w:tcPr>
            <w:tcW w:w="914"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年度指标值</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全年完成值</w:t>
            </w:r>
          </w:p>
        </w:tc>
        <w:tc>
          <w:tcPr>
            <w:tcW w:w="5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分值</w:t>
            </w:r>
          </w:p>
        </w:tc>
        <w:tc>
          <w:tcPr>
            <w:tcW w:w="5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得分</w:t>
            </w:r>
          </w:p>
        </w:tc>
        <w:tc>
          <w:tcPr>
            <w:tcW w:w="13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偏差及原因分析</w:t>
            </w:r>
          </w:p>
        </w:tc>
      </w:tr>
      <w:tr>
        <w:tblPrEx>
          <w:tblCellMar>
            <w:top w:w="0" w:type="dxa"/>
            <w:left w:w="108" w:type="dxa"/>
            <w:bottom w:w="0" w:type="dxa"/>
            <w:right w:w="108" w:type="dxa"/>
          </w:tblCellMar>
        </w:tblPrEx>
        <w:trPr>
          <w:trHeight w:val="24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209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914" w:type="dxa"/>
            <w:gridSpan w:val="3"/>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5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r>
      <w:tr>
        <w:tblPrEx>
          <w:tblCellMar>
            <w:top w:w="0" w:type="dxa"/>
            <w:left w:w="108" w:type="dxa"/>
            <w:bottom w:w="0" w:type="dxa"/>
            <w:right w:w="108" w:type="dxa"/>
          </w:tblCellMar>
        </w:tblPrEx>
        <w:trPr>
          <w:trHeight w:val="36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管理指标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20</w:t>
            </w: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预算编审管理</w:t>
            </w:r>
          </w:p>
        </w:tc>
        <w:tc>
          <w:tcPr>
            <w:tcW w:w="2170" w:type="dxa"/>
            <w:gridSpan w:val="5"/>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根据附件3《部门整体支出绩效评价指标体系框架》（参考）设置三级指标和指标值</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预算执行管理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部门结转结余资金管理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预决算信息公开管理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部门预算管理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政府采购管理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资产管理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产出指标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35</w:t>
            </w:r>
          </w:p>
        </w:tc>
        <w:tc>
          <w:tcPr>
            <w:tcW w:w="2097" w:type="dxa"/>
            <w:gridSpan w:val="2"/>
            <w:vMerge w:val="restart"/>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数量指标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指标1：调研报告完成率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lang w:eastAsia="zh-CN"/>
              </w:rPr>
            </w:pPr>
            <w:r>
              <w:rPr>
                <w:rFonts w:hint="eastAsia"/>
                <w:sz w:val="20"/>
                <w:szCs w:val="20"/>
                <w:lang w:val="en-US" w:eastAsia="zh-CN"/>
              </w:rPr>
              <w:t>＝1</w:t>
            </w:r>
            <w:r>
              <w:rPr>
                <w:rFonts w:hint="eastAsia"/>
                <w:sz w:val="20"/>
                <w:szCs w:val="20"/>
                <w:lang w:eastAsia="zh-CN"/>
              </w:rPr>
              <w:t>篇</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sz w:val="20"/>
                <w:szCs w:val="20"/>
                <w:lang w:val="en-US" w:eastAsia="zh-CN"/>
              </w:rPr>
              <w:t>4篇</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18"/>
                <w:lang w:eastAsia="zh-CN"/>
              </w:rPr>
            </w:pPr>
            <w:r>
              <w:rPr>
                <w:rFonts w:hint="eastAsia" w:ascii="宋体" w:hAnsi="宋体"/>
                <w:color w:val="000000"/>
                <w:sz w:val="18"/>
              </w:rPr>
              <w:t>任务2：</w:t>
            </w:r>
            <w:r>
              <w:rPr>
                <w:rFonts w:hint="eastAsia" w:ascii="宋体" w:hAnsi="宋体" w:cs="宋体"/>
                <w:color w:val="000000"/>
                <w:sz w:val="18"/>
                <w:szCs w:val="18"/>
                <w:highlight w:val="none"/>
                <w:shd w:val="clear" w:color="auto" w:fill="FFFFFF"/>
                <w:lang w:eastAsia="zh-CN"/>
              </w:rPr>
              <w:t>社情民意信息完成数</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w:t>
            </w:r>
            <w:r>
              <w:rPr>
                <w:rFonts w:hint="eastAsia"/>
                <w:sz w:val="20"/>
                <w:szCs w:val="20"/>
                <w:lang w:val="en-US" w:eastAsia="zh-CN"/>
              </w:rPr>
              <w:t>2篇</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sz w:val="20"/>
                <w:szCs w:val="20"/>
                <w:lang w:val="en-US" w:eastAsia="zh-CN"/>
              </w:rPr>
              <w:t>6篇</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任务3：</w:t>
            </w:r>
          </w:p>
          <w:p>
            <w:pPr>
              <w:autoSpaceDN w:val="0"/>
              <w:spacing w:line="240" w:lineRule="exact"/>
              <w:jc w:val="center"/>
              <w:textAlignment w:val="center"/>
              <w:rPr>
                <w:rFonts w:hint="eastAsia" w:ascii="宋体" w:hAnsi="宋体" w:eastAsia="宋体"/>
                <w:color w:val="000000"/>
                <w:sz w:val="18"/>
                <w:lang w:eastAsia="zh-CN"/>
              </w:rPr>
            </w:pPr>
            <w:r>
              <w:rPr>
                <w:rFonts w:hint="eastAsia"/>
                <w:color w:val="000000"/>
                <w:sz w:val="20"/>
                <w:szCs w:val="20"/>
                <w:lang w:eastAsia="zh-CN"/>
              </w:rPr>
              <w:t>提案完成率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lang w:eastAsia="zh-CN"/>
              </w:rPr>
            </w:pPr>
            <w:r>
              <w:rPr>
                <w:rFonts w:hint="eastAsia"/>
                <w:sz w:val="20"/>
                <w:szCs w:val="20"/>
              </w:rPr>
              <w:t>≧</w:t>
            </w:r>
            <w:r>
              <w:rPr>
                <w:rFonts w:hint="eastAsia"/>
                <w:sz w:val="20"/>
                <w:szCs w:val="20"/>
                <w:lang w:val="en-US" w:eastAsia="zh-CN"/>
              </w:rPr>
              <w:t>2篇</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eastAsia="zh-CN"/>
              </w:rPr>
            </w:pPr>
            <w:r>
              <w:rPr>
                <w:rFonts w:hint="eastAsia" w:ascii="宋体" w:hAnsi="宋体"/>
                <w:color w:val="000000"/>
                <w:sz w:val="18"/>
                <w:lang w:val="en-US" w:eastAsia="zh-CN"/>
              </w:rPr>
              <w:t>3篇</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60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4：社会服务活动完成率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3次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6次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9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5：参加协商</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ascii="宋体" w:hAnsi="宋体"/>
                <w:color w:val="000000"/>
                <w:sz w:val="18"/>
                <w:lang w:val="en-US" w:eastAsia="zh-CN"/>
              </w:rPr>
              <w:t>1次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3次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4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6：党员发展</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8人</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6人</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0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7：理论学习</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6次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8次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6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8：出版内刊</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eastAsia="zh-CN"/>
              </w:rPr>
              <w:t>＝</w:t>
            </w:r>
            <w:r>
              <w:rPr>
                <w:rFonts w:hint="eastAsia" w:ascii="宋体" w:hAnsi="宋体"/>
                <w:color w:val="000000"/>
                <w:sz w:val="18"/>
                <w:lang w:val="en-US" w:eastAsia="zh-CN"/>
              </w:rPr>
              <w:t>1期</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1期</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6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9：联系台胞开展捐赠活动</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eastAsia="zh-CN"/>
              </w:rPr>
              <w:t>＝</w:t>
            </w:r>
            <w:r>
              <w:rPr>
                <w:rFonts w:hint="eastAsia" w:ascii="宋体" w:hAnsi="宋体"/>
                <w:color w:val="000000"/>
                <w:sz w:val="18"/>
                <w:lang w:val="en-US" w:eastAsia="zh-CN"/>
              </w:rPr>
              <w:t>1次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1次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6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10：组织党员活动</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2次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5次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restart"/>
            <w:tcBorders>
              <w:top w:val="single" w:color="auto" w:sz="4" w:space="0"/>
              <w:left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质量指标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w:t>
            </w:r>
          </w:p>
          <w:p>
            <w:pPr>
              <w:jc w:val="center"/>
              <w:rPr>
                <w:rFonts w:ascii="宋体" w:hAnsi="宋体" w:cs="宋体"/>
                <w:color w:val="000000"/>
                <w:sz w:val="18"/>
                <w:szCs w:val="18"/>
              </w:rPr>
            </w:pPr>
            <w:r>
              <w:rPr>
                <w:rFonts w:hint="eastAsia"/>
                <w:color w:val="000000"/>
                <w:sz w:val="18"/>
                <w:szCs w:val="18"/>
              </w:rPr>
              <w:t>违规使用财政资金次数</w:t>
            </w:r>
          </w:p>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0次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left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eastAsia="zh-CN"/>
              </w:rPr>
              <w:t>任务</w:t>
            </w:r>
            <w:r>
              <w:rPr>
                <w:rFonts w:hint="eastAsia" w:ascii="宋体" w:hAnsi="宋体"/>
                <w:color w:val="000000"/>
                <w:sz w:val="18"/>
                <w:lang w:val="en-US" w:eastAsia="zh-CN"/>
              </w:rPr>
              <w:t>2：调研报告通过率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00"/>
                <w:sz w:val="18"/>
                <w:szCs w:val="18"/>
                <w:lang w:val="en-US" w:eastAsia="zh-CN"/>
              </w:rPr>
            </w:pPr>
            <w:r>
              <w:rPr>
                <w:rFonts w:hint="eastAsia"/>
                <w:sz w:val="20"/>
                <w:szCs w:val="20"/>
              </w:rPr>
              <w:t>≧</w:t>
            </w:r>
            <w:r>
              <w:rPr>
                <w:rFonts w:hint="eastAsia"/>
                <w:sz w:val="20"/>
                <w:szCs w:val="20"/>
                <w:lang w:val="en-US" w:eastAsia="zh-CN"/>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eastAsia="zh-CN"/>
              </w:rPr>
              <w:t>任务</w:t>
            </w:r>
            <w:r>
              <w:rPr>
                <w:rFonts w:hint="eastAsia" w:ascii="宋体" w:hAnsi="宋体"/>
                <w:color w:val="000000"/>
                <w:sz w:val="18"/>
                <w:lang w:val="en-US" w:eastAsia="zh-CN"/>
              </w:rPr>
              <w:t>3：提案采纳率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00"/>
                <w:sz w:val="18"/>
                <w:szCs w:val="18"/>
                <w:lang w:val="en-US" w:eastAsia="zh-CN"/>
              </w:rPr>
            </w:pPr>
            <w:r>
              <w:rPr>
                <w:rFonts w:hint="eastAsia"/>
                <w:sz w:val="20"/>
                <w:szCs w:val="20"/>
              </w:rPr>
              <w:t>≧</w:t>
            </w:r>
            <w:r>
              <w:rPr>
                <w:rFonts w:hint="eastAsia"/>
                <w:sz w:val="20"/>
                <w:szCs w:val="20"/>
                <w:lang w:val="en-US" w:eastAsia="zh-CN"/>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时效指标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任务1：计划完成时间</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color w:val="000000"/>
                <w:sz w:val="18"/>
                <w:szCs w:val="18"/>
              </w:rPr>
              <w:t>2020年1月1日-12月31日</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完成</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效果指标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35</w:t>
            </w: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经济效益指标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2097" w:type="dxa"/>
            <w:gridSpan w:val="2"/>
            <w:vMerge w:val="restart"/>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社会效益指标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指标1：发挥民主党派参政议政作用，为萍乡发展献计献策，促进党委、政府科学决策。</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20</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auto"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r>
              <w:rPr>
                <w:rFonts w:hint="eastAsia" w:ascii="宋体" w:hAnsi="宋体"/>
                <w:color w:val="000000"/>
                <w:sz w:val="18"/>
              </w:rPr>
              <w:t>指标2：发挥民主党派人才、智力、资源相对集中的优势服务社会民生。</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olor w:val="000000"/>
                <w:sz w:val="18"/>
                <w:lang w:val="en-US" w:eastAsia="zh-CN"/>
              </w:rPr>
            </w:pPr>
            <w:r>
              <w:rPr>
                <w:rFonts w:hint="eastAsia" w:ascii="宋体" w:hAnsi="宋体"/>
                <w:color w:val="000000"/>
                <w:sz w:val="18"/>
                <w:lang w:val="en-US" w:eastAsia="zh-CN"/>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1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生态效益指标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5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10</w:t>
            </w: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指标1：社会公众满意度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9</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00" w:hRule="atLeast"/>
        </w:trPr>
        <w:tc>
          <w:tcPr>
            <w:tcW w:w="6487"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总分</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97</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87" w:hRule="atLeast"/>
        </w:trPr>
        <w:tc>
          <w:tcPr>
            <w:tcW w:w="8946" w:type="dxa"/>
            <w:gridSpan w:val="14"/>
            <w:tcBorders>
              <w:top w:val="single" w:color="000000" w:sz="4" w:space="0"/>
              <w:left w:val="nil"/>
              <w:bottom w:val="nil"/>
              <w:right w:val="nil"/>
            </w:tcBorders>
            <w:vAlign w:val="center"/>
          </w:tcPr>
          <w:p>
            <w:pPr>
              <w:autoSpaceDN w:val="0"/>
              <w:spacing w:line="240" w:lineRule="exact"/>
              <w:jc w:val="left"/>
              <w:textAlignment w:val="center"/>
              <w:rPr>
                <w:sz w:val="18"/>
                <w:szCs w:val="18"/>
              </w:rPr>
            </w:pPr>
            <w:r>
              <w:rPr>
                <w:rFonts w:hint="eastAsia"/>
                <w:sz w:val="18"/>
                <w:szCs w:val="18"/>
              </w:rPr>
              <w:t>填表人：</w:t>
            </w:r>
            <w:r>
              <w:rPr>
                <w:rFonts w:hint="eastAsia"/>
                <w:sz w:val="18"/>
                <w:szCs w:val="18"/>
                <w:lang w:eastAsia="zh-CN"/>
              </w:rPr>
              <w:t>龙云</w:t>
            </w:r>
            <w:r>
              <w:rPr>
                <w:rFonts w:hint="eastAsia"/>
                <w:sz w:val="18"/>
                <w:szCs w:val="18"/>
              </w:rPr>
              <w:t xml:space="preserve">                                联系电话：</w:t>
            </w:r>
          </w:p>
        </w:tc>
      </w:tr>
      <w:tr>
        <w:tblPrEx>
          <w:tblCellMar>
            <w:top w:w="0" w:type="dxa"/>
            <w:left w:w="108" w:type="dxa"/>
            <w:bottom w:w="0" w:type="dxa"/>
            <w:right w:w="108" w:type="dxa"/>
          </w:tblCellMar>
        </w:tblPrEx>
        <w:trPr>
          <w:trHeight w:val="852" w:hRule="atLeast"/>
        </w:trPr>
        <w:tc>
          <w:tcPr>
            <w:tcW w:w="8946" w:type="dxa"/>
            <w:gridSpan w:val="14"/>
            <w:tcBorders>
              <w:top w:val="nil"/>
            </w:tcBorders>
          </w:tcPr>
          <w:p>
            <w:pPr>
              <w:autoSpaceDN w:val="0"/>
              <w:spacing w:line="240" w:lineRule="exact"/>
              <w:jc w:val="left"/>
              <w:textAlignment w:val="top"/>
              <w:rPr>
                <w:rFonts w:ascii="宋体" w:hAnsi="宋体"/>
                <w:color w:val="000000"/>
                <w:sz w:val="18"/>
              </w:rPr>
            </w:pPr>
            <w:r>
              <w:rPr>
                <w:rFonts w:hint="eastAsia" w:ascii="宋体" w:hAnsi="宋体"/>
                <w:color w:val="000000"/>
                <w:sz w:val="18"/>
              </w:rPr>
              <w:t>说明：1.预算部门按照附件3《部门整体支出绩效评价指标体系框架》（参考）设置三级指标和指标</w:t>
            </w:r>
            <w:r>
              <w:rPr>
                <w:rFonts w:hint="eastAsia" w:ascii="宋体" w:hAnsi="宋体"/>
                <w:color w:val="000000"/>
                <w:sz w:val="18"/>
              </w:rPr>
              <w:br w:type="textWrapping"/>
            </w:r>
            <w:r>
              <w:rPr>
                <w:rFonts w:hint="eastAsia" w:ascii="宋体" w:hAnsi="宋体"/>
                <w:color w:val="000000"/>
                <w:sz w:val="18"/>
              </w:rPr>
              <w:t xml:space="preserve">      2.上述产出指标和效益指标根据年初设定的绩效目标既可以按照重点任务完成情况分别填列，也可以依据所有重点任务归纳提炼综合指标。</w:t>
            </w:r>
          </w:p>
        </w:tc>
      </w:tr>
    </w:tbl>
    <w:tbl>
      <w:tblPr>
        <w:tblStyle w:val="6"/>
        <w:tblpPr w:leftFromText="180" w:rightFromText="180" w:vertAnchor="text" w:tblpX="10214" w:tblpY="-17020"/>
        <w:tblOverlap w:val="never"/>
        <w:tblW w:w="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30" w:hRule="atLeast"/>
        </w:trPr>
        <w:tc>
          <w:tcPr>
            <w:tcW w:w="686" w:type="dxa"/>
          </w:tcPr>
          <w:p>
            <w:pPr>
              <w:spacing w:line="240" w:lineRule="exact"/>
              <w:rPr>
                <w:rFonts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686" w:type="dxa"/>
          </w:tcPr>
          <w:p>
            <w:pPr>
              <w:spacing w:line="240" w:lineRule="exact"/>
              <w:rPr>
                <w:rFonts w:ascii="仿宋" w:hAnsi="仿宋" w:eastAsia="仿宋"/>
                <w:sz w:val="28"/>
                <w:szCs w:val="28"/>
                <w:vertAlign w:val="baseline"/>
              </w:rPr>
            </w:pPr>
          </w:p>
        </w:tc>
      </w:tr>
    </w:tbl>
    <w:p>
      <w:pPr>
        <w:spacing w:line="240" w:lineRule="exact"/>
        <w:ind w:firstLine="560" w:firstLineChars="200"/>
        <w:rPr>
          <w:rFonts w:ascii="仿宋" w:hAnsi="仿宋" w:eastAsia="仿宋"/>
          <w:sz w:val="28"/>
          <w:szCs w:val="28"/>
        </w:rPr>
      </w:pPr>
    </w:p>
    <w:p>
      <w:pPr>
        <w:spacing w:line="620" w:lineRule="exact"/>
        <w:rPr>
          <w:rFonts w:ascii="黑体" w:hAnsi="黑体" w:eastAsia="黑体"/>
          <w:sz w:val="32"/>
          <w:szCs w:val="28"/>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2"/>
      <w:ind w:firstLine="0" w:firstLineChars="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p>
    <w:pPr>
      <w:pStyle w:val="8"/>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F76BA"/>
    <w:rsid w:val="000C06F6"/>
    <w:rsid w:val="00243A9F"/>
    <w:rsid w:val="002A1688"/>
    <w:rsid w:val="00365F91"/>
    <w:rsid w:val="009C36FE"/>
    <w:rsid w:val="00B7082A"/>
    <w:rsid w:val="00B7317D"/>
    <w:rsid w:val="00B866C4"/>
    <w:rsid w:val="00CE3E04"/>
    <w:rsid w:val="00E823BE"/>
    <w:rsid w:val="46E36C7D"/>
    <w:rsid w:val="4A7F3329"/>
    <w:rsid w:val="4F121CDB"/>
    <w:rsid w:val="60DF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Char Char Char"/>
    <w:basedOn w:val="1"/>
    <w:qFormat/>
    <w:uiPriority w:val="0"/>
    <w:pPr>
      <w:spacing w:line="360" w:lineRule="auto"/>
      <w:ind w:firstLine="200" w:firstLineChars="200"/>
    </w:p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772</Words>
  <Characters>831</Characters>
  <Lines>7</Lines>
  <Paragraphs>2</Paragraphs>
  <TotalTime>12</TotalTime>
  <ScaleCrop>false</ScaleCrop>
  <LinksUpToDate>false</LinksUpToDate>
  <CharactersWithSpaces>890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2021-03-01T08:58:00Z</dcterms:created>
  <dc:creator>不午休de貓</dc:creator>
  <cp:lastModifiedBy>龙云</cp:lastModifiedBy>
  <cp:lastPrinted>2021-04-29T07:41:00Z</cp:lastPrinted>
  <dcterms:modified xsi:type="dcterms:W3CDTF">2022-03-24T08:04:07Z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FCCBE9E0D0994A099D9B2B43DEAA2BE6</vt:lpwstr>
  </property>
</Properties>
</file>